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5CFF"/>
          <w:sz w:val="44"/>
        </w:rPr>
        <w:t>Unit plan / scheme of work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Unit title · Subject · Year group · Weeks</w:t>
      </w:r>
    </w:p>
    <w:p>
      <w:pPr>
        <w:pBdr>
          <w:bottom w:val="single" w:sz="12" w:space="1" w:color="7C5CFF"/>
        </w:pBdr>
        <w:spacing w:after="120"/>
      </w:pPr>
    </w:p>
    <w:p>
      <w:pPr>
        <w:pStyle w:val="Heading3"/>
      </w:pPr>
      <w:r>
        <w:t>Big question / rationale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Prior knowledge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Key knowledge &amp; skills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Lesson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551"/>
        <w:gridCol w:w="3515"/>
        <w:gridCol w:w="1984"/>
      </w:tblGrid>
      <w:tr>
        <w:tc>
          <w:tcPr>
            <w:tcW w:type="dxa" w:w="1587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Week / lesson</w:t>
            </w:r>
          </w:p>
        </w:tc>
        <w:tc>
          <w:tcPr>
            <w:tcW w:type="dxa" w:w="2551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Topic</w:t>
            </w:r>
          </w:p>
        </w:tc>
        <w:tc>
          <w:tcPr>
            <w:tcW w:type="dxa" w:w="3515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Activities</w:t>
            </w:r>
          </w:p>
        </w:tc>
        <w:tc>
          <w:tcPr>
            <w:tcW w:type="dxa" w:w="1984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Assessment</w:t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pStyle w:val="Heading3"/>
      </w:pPr>
      <w:r>
        <w:t>Assessment (formative &amp; summative)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Resources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Cross-curricular links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plan / scheme of work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